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附件4</w:t>
      </w:r>
    </w:p>
    <w:p>
      <w:pPr>
        <w:spacing w:before="289" w:beforeLines="50" w:line="440" w:lineRule="exact"/>
        <w:jc w:val="center"/>
        <w:rPr>
          <w:rFonts w:hint="default" w:eastAsia="方正小标宋简体"/>
          <w:bCs/>
          <w:sz w:val="40"/>
          <w:szCs w:val="44"/>
          <w:lang w:val="en-US" w:eastAsia="zh-CN"/>
        </w:rPr>
      </w:pPr>
      <w:r>
        <w:rPr>
          <w:rFonts w:hint="eastAsia" w:eastAsia="方正小标宋简体"/>
          <w:bCs/>
          <w:sz w:val="40"/>
          <w:szCs w:val="44"/>
          <w:lang w:val="en-US" w:eastAsia="zh-CN"/>
        </w:rPr>
        <w:t>河南林业职业学院星级团支部汇总表</w:t>
      </w:r>
    </w:p>
    <w:tbl>
      <w:tblPr>
        <w:tblStyle w:val="4"/>
        <w:tblpPr w:leftFromText="180" w:rightFromText="180" w:vertAnchor="text" w:horzAnchor="page" w:tblpX="1800" w:tblpY="626"/>
        <w:tblOverlap w:val="never"/>
        <w:tblW w:w="85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  <w:gridCol w:w="2082"/>
        <w:gridCol w:w="1417"/>
        <w:gridCol w:w="1417"/>
        <w:gridCol w:w="1417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团支部</w:t>
            </w: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团支书</w:t>
            </w: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辅导员</w:t>
            </w: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分数</w:t>
            </w: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考核等级（五、四、三星级）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2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7" w:type="dxa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p>
      <w:pPr>
        <w:rPr>
          <w:rFonts w:hint="eastAsia" w:ascii="黑体" w:hAnsi="黑体" w:eastAsia="黑体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（注：五星级不超过30%，四星级50%—60%，三星级不得低于10%）</w:t>
      </w:r>
    </w:p>
    <w:p>
      <w:pPr>
        <w:pStyle w:val="6"/>
        <w:ind w:left="0" w:leftChars="0" w:firstLine="0" w:firstLineChars="0"/>
        <w:rPr>
          <w:rFonts w:hint="eastAsia" w:asciiTheme="minorEastAsia" w:hAnsiTheme="minorEastAsia" w:eastAsiaTheme="minorEastAsia" w:cstheme="minorEastAsia"/>
          <w:kern w:val="2"/>
          <w:sz w:val="28"/>
          <w:szCs w:val="28"/>
          <w:vertAlign w:val="baseline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2"/>
          <w:sz w:val="28"/>
          <w:szCs w:val="28"/>
          <w:vertAlign w:val="baseline"/>
          <w:lang w:val="en-US" w:eastAsia="zh-CN" w:bidi="ar-SA"/>
        </w:rPr>
        <w:t>评定小组签字：</w:t>
      </w:r>
    </w:p>
    <w:p>
      <w:pPr>
        <w:pStyle w:val="6"/>
        <w:ind w:left="0" w:leftChars="0" w:firstLine="0" w:firstLineChars="0"/>
        <w:rPr>
          <w:rFonts w:hint="eastAsia" w:asciiTheme="minorEastAsia" w:hAnsiTheme="minorEastAsia" w:eastAsiaTheme="minorEastAsia" w:cstheme="minorEastAsia"/>
          <w:kern w:val="2"/>
          <w:sz w:val="28"/>
          <w:szCs w:val="28"/>
          <w:vertAlign w:val="baseline"/>
          <w:lang w:val="en-US" w:eastAsia="zh-CN" w:bidi="ar-SA"/>
        </w:rPr>
      </w:pPr>
    </w:p>
    <w:p>
      <w:pPr>
        <w:pStyle w:val="6"/>
        <w:ind w:left="0" w:leftChars="0" w:firstLine="0" w:firstLineChars="0"/>
        <w:rPr>
          <w:rFonts w:hint="eastAsia" w:asciiTheme="minorEastAsia" w:hAnsiTheme="minorEastAsia" w:eastAsiaTheme="minorEastAsia" w:cstheme="minorEastAsia"/>
          <w:kern w:val="2"/>
          <w:sz w:val="28"/>
          <w:szCs w:val="28"/>
          <w:vertAlign w:val="baseline"/>
          <w:lang w:val="en-US" w:eastAsia="zh-CN" w:bidi="ar-SA"/>
        </w:rPr>
      </w:pPr>
    </w:p>
    <w:p>
      <w:pPr>
        <w:pStyle w:val="6"/>
        <w:ind w:left="0" w:leftChars="0" w:firstLine="0" w:firstLineChars="0"/>
        <w:rPr>
          <w:rFonts w:hint="eastAsia" w:asciiTheme="minorEastAsia" w:hAnsiTheme="minorEastAsia" w:eastAsiaTheme="minorEastAsia" w:cstheme="minorEastAsia"/>
          <w:kern w:val="2"/>
          <w:sz w:val="28"/>
          <w:szCs w:val="28"/>
          <w:vertAlign w:val="baseline"/>
          <w:lang w:val="en-US" w:eastAsia="zh-CN" w:bidi="ar-SA"/>
        </w:rPr>
      </w:pPr>
    </w:p>
    <w:p>
      <w:pPr>
        <w:pStyle w:val="6"/>
        <w:ind w:left="0" w:leftChars="0" w:firstLine="0" w:firstLineChars="0"/>
        <w:jc w:val="center"/>
        <w:rPr>
          <w:rFonts w:hint="eastAsia" w:asciiTheme="minorEastAsia" w:hAnsiTheme="minorEastAsia" w:cstheme="minorEastAsia"/>
          <w:kern w:val="2"/>
          <w:sz w:val="28"/>
          <w:szCs w:val="28"/>
          <w:vertAlign w:val="baseline"/>
          <w:lang w:val="en-US" w:eastAsia="zh-CN" w:bidi="ar-SA"/>
        </w:rPr>
      </w:pPr>
      <w:r>
        <w:rPr>
          <w:rFonts w:hint="eastAsia" w:asciiTheme="minorEastAsia" w:hAnsiTheme="minorEastAsia" w:cstheme="minorEastAsia"/>
          <w:kern w:val="2"/>
          <w:sz w:val="28"/>
          <w:szCs w:val="28"/>
          <w:vertAlign w:val="baseline"/>
          <w:lang w:val="en-US" w:eastAsia="zh-CN" w:bidi="ar-SA"/>
        </w:rPr>
        <w:t xml:space="preserve">                                XX学院（盖章）</w:t>
      </w:r>
    </w:p>
    <w:p>
      <w:pPr>
        <w:pStyle w:val="6"/>
        <w:ind w:left="0" w:leftChars="0" w:firstLine="0" w:firstLineChars="0"/>
        <w:jc w:val="center"/>
        <w:rPr>
          <w:rFonts w:hint="default" w:asciiTheme="minorEastAsia" w:hAnsiTheme="minorEastAsia" w:cstheme="minorEastAsia"/>
          <w:kern w:val="2"/>
          <w:sz w:val="28"/>
          <w:szCs w:val="28"/>
          <w:vertAlign w:val="baseline"/>
          <w:lang w:val="en-US" w:eastAsia="zh-CN" w:bidi="ar-SA"/>
        </w:rPr>
        <w:sectPr>
          <w:footerReference r:id="rId3" w:type="default"/>
          <w:footerReference r:id="rId4" w:type="even"/>
          <w:pgSz w:w="11907" w:h="16840"/>
          <w:pgMar w:top="2098" w:right="1474" w:bottom="1985" w:left="1588" w:header="851" w:footer="1644" w:gutter="0"/>
          <w:cols w:space="425" w:num="1"/>
          <w:docGrid w:type="linesAndChars" w:linePitch="579" w:charSpace="-842"/>
        </w:sectPr>
      </w:pPr>
      <w:r>
        <w:rPr>
          <w:rFonts w:hint="eastAsia" w:asciiTheme="minorEastAsia" w:hAnsiTheme="minorEastAsia" w:cstheme="minorEastAsia"/>
          <w:kern w:val="2"/>
          <w:sz w:val="28"/>
          <w:szCs w:val="28"/>
          <w:vertAlign w:val="baseline"/>
          <w:lang w:val="en-US" w:eastAsia="zh-CN" w:bidi="ar-SA"/>
        </w:rPr>
        <w:t xml:space="preserve">                                2025年X月X日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sdt>
      <w:sdtPr>
        <w:id w:val="1069388844"/>
        <w:docPartObj>
          <w:docPartGallery w:val="autotext"/>
        </w:docPartObj>
      </w:sdtPr>
      <w:sdtEndPr>
        <w:rPr>
          <w:sz w:val="24"/>
          <w:szCs w:val="24"/>
        </w:rPr>
      </w:sdtEndPr>
      <w:sdtContent>
        <w:r>
          <w:rPr>
            <w:rFonts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</w:rPr>
          <w:t>1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ascii="宋体" w:hAnsi="宋体" w:eastAsia="宋体"/>
            <w:sz w:val="28"/>
            <w:szCs w:val="28"/>
          </w:rPr>
          <w:t xml:space="preserve"> —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720" w:firstLineChars="400"/>
    </w:pPr>
    <w:sdt>
      <w:sdtPr>
        <w:id w:val="-1601482258"/>
        <w:docPartObj>
          <w:docPartGallery w:val="autotext"/>
        </w:docPartObj>
      </w:sdtPr>
      <w:sdtEndPr>
        <w:rPr>
          <w:sz w:val="24"/>
          <w:szCs w:val="24"/>
        </w:rPr>
      </w:sdtEndPr>
      <w:sdtContent>
        <w:r>
          <w:rPr>
            <w:rFonts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</w:rPr>
          <w:t>5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ascii="宋体" w:hAnsi="宋体" w:eastAsia="宋体"/>
            <w:sz w:val="28"/>
            <w:szCs w:val="28"/>
          </w:rPr>
          <w:t xml:space="preserve"> —</w:t>
        </w:r>
      </w:sdtContent>
    </w:sdt>
    <w:r>
      <w:rPr>
        <w:sz w:val="24"/>
        <w:szCs w:val="24"/>
      </w:rPr>
      <w:t xml:space="preserve"> 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JmMjYwYjU5ODQ5YmEzYjQyY2I5MjJmNTExNTZiMWEifQ=="/>
  </w:docVars>
  <w:rsids>
    <w:rsidRoot w:val="044F23DC"/>
    <w:rsid w:val="044F2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92</Words>
  <Characters>104</Characters>
  <Lines>0</Lines>
  <Paragraphs>0</Paragraphs>
  <TotalTime>0</TotalTime>
  <ScaleCrop>false</ScaleCrop>
  <LinksUpToDate>false</LinksUpToDate>
  <CharactersWithSpaces>168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2025-03-03T03:26:00Z</dcterms:created>
  <dc:creator>Icarus.</dc:creator>
  <cp:lastModifiedBy>Icarus.</cp:lastModifiedBy>
  <dcterms:modified xsi:type="dcterms:W3CDTF">2025-03-03T03:27:19Z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9B61910666E14B02965DA04EEBC9BE3E</vt:lpwstr>
  </property>
</Properties>
</file>